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1F08" w14:textId="476DDB56" w:rsidR="00736449" w:rsidRDefault="00BE367D" w:rsidP="00BE367D">
      <w:pPr>
        <w:pStyle w:val="Heading1"/>
      </w:pPr>
      <w:r>
        <w:t xml:space="preserve">Exercise: </w:t>
      </w:r>
      <w:r w:rsidRPr="00A93A3E">
        <w:t>Limitations and possibilities of survey data use for SDG monitoring from a gender equality perspective</w:t>
      </w:r>
    </w:p>
    <w:p w14:paraId="4F0907F6" w14:textId="2883455B" w:rsidR="00BE367D" w:rsidRDefault="00BE367D"/>
    <w:p w14:paraId="719267B6" w14:textId="712C58D3" w:rsidR="00BE367D" w:rsidRDefault="00BE367D" w:rsidP="00BE367D">
      <w:pPr>
        <w:pStyle w:val="ListParagraph"/>
        <w:numPr>
          <w:ilvl w:val="0"/>
          <w:numId w:val="1"/>
        </w:numPr>
      </w:pPr>
      <w:r>
        <w:t xml:space="preserve">Utilizing </w:t>
      </w:r>
      <w:proofErr w:type="spellStart"/>
      <w:r>
        <w:t>StatCompiler</w:t>
      </w:r>
      <w:proofErr w:type="spellEnd"/>
      <w:r>
        <w:t xml:space="preserve"> (</w:t>
      </w:r>
      <w:r w:rsidRPr="00BE367D">
        <w:t>https://www.statcompiler.com/en/</w:t>
      </w:r>
      <w:r>
        <w:t>) calculate the following</w:t>
      </w:r>
      <w:r w:rsidR="00CE5E8D">
        <w:t xml:space="preserve"> indicators and add them to the table below</w:t>
      </w:r>
      <w:r>
        <w:t>:</w:t>
      </w:r>
    </w:p>
    <w:p w14:paraId="2743DDDA" w14:textId="3B315D87" w:rsidR="00CE5E8D" w:rsidRDefault="00CE5E8D" w:rsidP="00BE367D">
      <w:pPr>
        <w:pStyle w:val="ListParagraph"/>
        <w:numPr>
          <w:ilvl w:val="1"/>
          <w:numId w:val="1"/>
        </w:numPr>
      </w:pPr>
      <w:r>
        <w:t>Median age at first marriage for women ages 20-49 that completed at least secondary education in India.</w:t>
      </w:r>
    </w:p>
    <w:p w14:paraId="6FDDDD95" w14:textId="45EB9DF6" w:rsidR="00E60284" w:rsidRDefault="00E60284" w:rsidP="00BE367D">
      <w:pPr>
        <w:pStyle w:val="ListParagraph"/>
        <w:numPr>
          <w:ilvl w:val="1"/>
          <w:numId w:val="1"/>
        </w:numPr>
      </w:pPr>
      <w:r>
        <w:t>Median age at first marriage for women ages 20-49 that completed no education or only primary education in India, according to the latest available data</w:t>
      </w:r>
    </w:p>
    <w:p w14:paraId="41A721B5" w14:textId="5AE7FDEA" w:rsidR="000F2F0B" w:rsidRDefault="00F61672" w:rsidP="00BE367D">
      <w:pPr>
        <w:pStyle w:val="ListParagraph"/>
        <w:numPr>
          <w:ilvl w:val="1"/>
          <w:numId w:val="1"/>
        </w:numPr>
      </w:pPr>
      <w:r>
        <w:t>Proportion of population living in the wealthiest households that have water 30min or longer away round trip</w:t>
      </w:r>
      <w:r w:rsidR="00E121C2">
        <w:t xml:space="preserve"> in India</w:t>
      </w:r>
      <w:r>
        <w:t>, according to latest available data</w:t>
      </w:r>
    </w:p>
    <w:p w14:paraId="606E1766" w14:textId="491EDE4A" w:rsidR="00F61672" w:rsidRDefault="00F61672" w:rsidP="00F61672">
      <w:pPr>
        <w:pStyle w:val="ListParagraph"/>
        <w:numPr>
          <w:ilvl w:val="1"/>
          <w:numId w:val="1"/>
        </w:numPr>
      </w:pPr>
      <w:r>
        <w:t>Proportion of population living in the poorest households that have water 30min or longer away round trip</w:t>
      </w:r>
      <w:r w:rsidR="00E121C2">
        <w:t xml:space="preserve"> in India</w:t>
      </w:r>
      <w:r>
        <w:t>, according to latest available data</w:t>
      </w:r>
    </w:p>
    <w:p w14:paraId="35409EEC" w14:textId="5CF64739" w:rsidR="00D43D67" w:rsidRDefault="00D43D67" w:rsidP="00D43D67">
      <w:pPr>
        <w:pStyle w:val="ListParagraph"/>
        <w:numPr>
          <w:ilvl w:val="1"/>
          <w:numId w:val="1"/>
        </w:numPr>
      </w:pPr>
      <w:r>
        <w:t>Proportion of non-pregnant women living in the Jharkhand province of India with any level of anemia, according to latest available data</w:t>
      </w:r>
    </w:p>
    <w:p w14:paraId="209406BF" w14:textId="30F1CAA4" w:rsidR="00D43D67" w:rsidRDefault="00D43D67" w:rsidP="00D43D67">
      <w:pPr>
        <w:pStyle w:val="ListParagraph"/>
        <w:numPr>
          <w:ilvl w:val="1"/>
          <w:numId w:val="1"/>
        </w:numPr>
      </w:pPr>
      <w:r>
        <w:t>Proportion of non-pregnant women living in the Manipur province of India with any level of anemia, according to latest available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5DF4" w14:paraId="25AD6A3D" w14:textId="77777777" w:rsidTr="00F85DF4">
        <w:tc>
          <w:tcPr>
            <w:tcW w:w="4675" w:type="dxa"/>
            <w:shd w:val="clear" w:color="auto" w:fill="8EAADB" w:themeFill="accent1" w:themeFillTint="99"/>
          </w:tcPr>
          <w:p w14:paraId="1B127097" w14:textId="3D995B8D" w:rsidR="00F85DF4" w:rsidRDefault="00F85DF4" w:rsidP="00E121C2">
            <w:r>
              <w:t>Question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2D76126B" w14:textId="2C9A7C25" w:rsidR="00F85DF4" w:rsidRDefault="00F85DF4" w:rsidP="00E121C2">
            <w:r>
              <w:t>Response</w:t>
            </w:r>
          </w:p>
        </w:tc>
      </w:tr>
      <w:tr w:rsidR="00F85DF4" w14:paraId="2AA4813A" w14:textId="77777777" w:rsidTr="00F85DF4">
        <w:trPr>
          <w:trHeight w:val="665"/>
        </w:trPr>
        <w:tc>
          <w:tcPr>
            <w:tcW w:w="4675" w:type="dxa"/>
          </w:tcPr>
          <w:p w14:paraId="53F93C8B" w14:textId="6C91D734" w:rsidR="00F85DF4" w:rsidRDefault="00F85DF4" w:rsidP="00F85DF4">
            <w:pPr>
              <w:jc w:val="center"/>
            </w:pPr>
            <w:r>
              <w:t>A</w:t>
            </w:r>
          </w:p>
        </w:tc>
        <w:tc>
          <w:tcPr>
            <w:tcW w:w="4675" w:type="dxa"/>
          </w:tcPr>
          <w:p w14:paraId="1B947DA2" w14:textId="77777777" w:rsidR="00F85DF4" w:rsidRDefault="00F85DF4" w:rsidP="00E121C2"/>
        </w:tc>
      </w:tr>
      <w:tr w:rsidR="00F85DF4" w14:paraId="44AA3477" w14:textId="77777777" w:rsidTr="00F85DF4">
        <w:trPr>
          <w:trHeight w:val="710"/>
        </w:trPr>
        <w:tc>
          <w:tcPr>
            <w:tcW w:w="4675" w:type="dxa"/>
          </w:tcPr>
          <w:p w14:paraId="08D1780F" w14:textId="054F9F24" w:rsidR="00F85DF4" w:rsidRDefault="00F85DF4" w:rsidP="00F85DF4">
            <w:pPr>
              <w:jc w:val="center"/>
            </w:pPr>
            <w:r>
              <w:t>B</w:t>
            </w:r>
          </w:p>
        </w:tc>
        <w:tc>
          <w:tcPr>
            <w:tcW w:w="4675" w:type="dxa"/>
          </w:tcPr>
          <w:p w14:paraId="66F79F61" w14:textId="77777777" w:rsidR="00F85DF4" w:rsidRDefault="00F85DF4" w:rsidP="00E121C2"/>
        </w:tc>
      </w:tr>
      <w:tr w:rsidR="00F85DF4" w14:paraId="66F7C0EB" w14:textId="77777777" w:rsidTr="00F85DF4">
        <w:trPr>
          <w:trHeight w:val="710"/>
        </w:trPr>
        <w:tc>
          <w:tcPr>
            <w:tcW w:w="4675" w:type="dxa"/>
          </w:tcPr>
          <w:p w14:paraId="50AB861B" w14:textId="31D52025" w:rsidR="00F85DF4" w:rsidRDefault="00F85DF4" w:rsidP="00F85DF4">
            <w:pPr>
              <w:jc w:val="center"/>
            </w:pPr>
            <w:r>
              <w:t>C</w:t>
            </w:r>
          </w:p>
        </w:tc>
        <w:tc>
          <w:tcPr>
            <w:tcW w:w="4675" w:type="dxa"/>
          </w:tcPr>
          <w:p w14:paraId="5F44A195" w14:textId="77777777" w:rsidR="00F85DF4" w:rsidRDefault="00F85DF4" w:rsidP="00E121C2"/>
        </w:tc>
      </w:tr>
      <w:tr w:rsidR="00F85DF4" w14:paraId="27551DDB" w14:textId="77777777" w:rsidTr="00F85DF4">
        <w:trPr>
          <w:trHeight w:val="620"/>
        </w:trPr>
        <w:tc>
          <w:tcPr>
            <w:tcW w:w="4675" w:type="dxa"/>
          </w:tcPr>
          <w:p w14:paraId="49B0F7DF" w14:textId="3DDB4B44" w:rsidR="00F85DF4" w:rsidRDefault="00F85DF4" w:rsidP="00F85DF4">
            <w:pPr>
              <w:jc w:val="center"/>
            </w:pPr>
            <w:r>
              <w:t>D</w:t>
            </w:r>
          </w:p>
        </w:tc>
        <w:tc>
          <w:tcPr>
            <w:tcW w:w="4675" w:type="dxa"/>
          </w:tcPr>
          <w:p w14:paraId="2522138F" w14:textId="77777777" w:rsidR="00F85DF4" w:rsidRDefault="00F85DF4" w:rsidP="00E121C2"/>
        </w:tc>
      </w:tr>
      <w:tr w:rsidR="00F85DF4" w14:paraId="468427B8" w14:textId="77777777" w:rsidTr="00F85DF4">
        <w:trPr>
          <w:trHeight w:val="620"/>
        </w:trPr>
        <w:tc>
          <w:tcPr>
            <w:tcW w:w="4675" w:type="dxa"/>
          </w:tcPr>
          <w:p w14:paraId="07672A49" w14:textId="014B0145" w:rsidR="00F85DF4" w:rsidRDefault="00F85DF4" w:rsidP="00F85DF4">
            <w:pPr>
              <w:jc w:val="center"/>
            </w:pPr>
            <w:r>
              <w:t>E</w:t>
            </w:r>
          </w:p>
        </w:tc>
        <w:tc>
          <w:tcPr>
            <w:tcW w:w="4675" w:type="dxa"/>
          </w:tcPr>
          <w:p w14:paraId="1BCDF030" w14:textId="77777777" w:rsidR="00F85DF4" w:rsidRDefault="00F85DF4" w:rsidP="00E121C2"/>
        </w:tc>
      </w:tr>
      <w:tr w:rsidR="00F85DF4" w14:paraId="57C91710" w14:textId="77777777" w:rsidTr="00F85DF4">
        <w:trPr>
          <w:trHeight w:val="620"/>
        </w:trPr>
        <w:tc>
          <w:tcPr>
            <w:tcW w:w="4675" w:type="dxa"/>
          </w:tcPr>
          <w:p w14:paraId="56F4A638" w14:textId="213812AB" w:rsidR="00F85DF4" w:rsidRDefault="00F85DF4" w:rsidP="00F85DF4">
            <w:pPr>
              <w:jc w:val="center"/>
            </w:pPr>
            <w:r>
              <w:t>F</w:t>
            </w:r>
          </w:p>
        </w:tc>
        <w:tc>
          <w:tcPr>
            <w:tcW w:w="4675" w:type="dxa"/>
          </w:tcPr>
          <w:p w14:paraId="02998D29" w14:textId="77777777" w:rsidR="00F85DF4" w:rsidRDefault="00F85DF4" w:rsidP="00E121C2"/>
        </w:tc>
      </w:tr>
    </w:tbl>
    <w:p w14:paraId="1C6DD8BB" w14:textId="0AAD7515" w:rsidR="00E121C2" w:rsidRDefault="00E121C2" w:rsidP="00E121C2">
      <w:bookmarkStart w:id="0" w:name="_GoBack"/>
      <w:bookmarkEnd w:id="0"/>
    </w:p>
    <w:p w14:paraId="3B715649" w14:textId="77777777" w:rsidR="00F85DF4" w:rsidRDefault="00F85DF4" w:rsidP="00E121C2"/>
    <w:p w14:paraId="3CECF0D1" w14:textId="12D8D498" w:rsidR="00E121C2" w:rsidRDefault="00F65486" w:rsidP="00BA31FC">
      <w:pPr>
        <w:pStyle w:val="ListParagraph"/>
        <w:numPr>
          <w:ilvl w:val="0"/>
          <w:numId w:val="1"/>
        </w:numPr>
      </w:pPr>
      <w:r>
        <w:t>For this exercise, please refer to the Excel table provided separately</w:t>
      </w:r>
      <w:r w:rsidR="00BA31FC">
        <w:rPr>
          <w:rStyle w:val="EndnoteReference"/>
        </w:rPr>
        <w:endnoteReference w:id="1"/>
      </w:r>
      <w:r w:rsidR="00BA31FC">
        <w:t xml:space="preserve">, which includes information downloaded from </w:t>
      </w:r>
      <w:proofErr w:type="spellStart"/>
      <w:r w:rsidR="00BA31FC">
        <w:t>StatCompiler</w:t>
      </w:r>
      <w:proofErr w:type="spellEnd"/>
      <w:r w:rsidR="00BA31FC">
        <w:t xml:space="preserve">. </w:t>
      </w:r>
      <w:r w:rsidR="008501FD">
        <w:t>Using the information provided in the table, respond to the following q</w:t>
      </w:r>
      <w:r w:rsidR="00E121C2">
        <w:t xml:space="preserve">uestions: </w:t>
      </w:r>
    </w:p>
    <w:p w14:paraId="0094ED47" w14:textId="3BF0EDEB" w:rsidR="004C1EC2" w:rsidRDefault="004C1EC2" w:rsidP="008501FD">
      <w:pPr>
        <w:pStyle w:val="ListParagraph"/>
        <w:numPr>
          <w:ilvl w:val="1"/>
          <w:numId w:val="4"/>
        </w:numPr>
      </w:pPr>
      <w:r>
        <w:t>What disaggregation variables are being used for the indicator: “</w:t>
      </w:r>
      <w:r w:rsidRPr="004C1EC2">
        <w:t>Median age at first marriage for women ages 20-49 living in the wealthiest households in India, according to the latest available data</w:t>
      </w:r>
      <w:r>
        <w:t>”</w:t>
      </w:r>
    </w:p>
    <w:p w14:paraId="24E421E5" w14:textId="34A5E78B" w:rsidR="008501FD" w:rsidRDefault="008501FD" w:rsidP="008501FD">
      <w:pPr>
        <w:pStyle w:val="ListParagraph"/>
        <w:numPr>
          <w:ilvl w:val="1"/>
          <w:numId w:val="4"/>
        </w:numPr>
      </w:pPr>
      <w:r>
        <w:t xml:space="preserve">Do you think the data on distance to water source is relevant for a gender analysis, </w:t>
      </w:r>
      <w:proofErr w:type="gramStart"/>
      <w:r>
        <w:t>despite the fact that</w:t>
      </w:r>
      <w:proofErr w:type="gramEnd"/>
      <w:r>
        <w:t xml:space="preserve"> it is not sex-disaggregated? Why?</w:t>
      </w:r>
    </w:p>
    <w:p w14:paraId="3199BE6F" w14:textId="3AE50F9E" w:rsidR="00E121C2" w:rsidRDefault="00E121C2" w:rsidP="008501FD">
      <w:pPr>
        <w:pStyle w:val="ListParagraph"/>
        <w:numPr>
          <w:ilvl w:val="1"/>
          <w:numId w:val="4"/>
        </w:numPr>
      </w:pPr>
      <w:r>
        <w:lastRenderedPageBreak/>
        <w:t>Given the sample size for the 2015-16 DHS survey in India</w:t>
      </w:r>
      <w:r w:rsidR="00AB1B9A">
        <w:t xml:space="preserve">, </w:t>
      </w:r>
      <w:r>
        <w:t xml:space="preserve">would it be possible to calculate the </w:t>
      </w:r>
      <w:r w:rsidRPr="00E121C2">
        <w:t xml:space="preserve">Percentage of women ages 20 to 49 that were married by age 18 (child marriage) </w:t>
      </w:r>
      <w:r>
        <w:t>in urban areas?</w:t>
      </w:r>
    </w:p>
    <w:p w14:paraId="48426443" w14:textId="7269BD90" w:rsidR="00AB1B9A" w:rsidRDefault="007D24BF" w:rsidP="008501FD">
      <w:pPr>
        <w:pStyle w:val="ListParagraph"/>
        <w:numPr>
          <w:ilvl w:val="2"/>
          <w:numId w:val="4"/>
        </w:numPr>
      </w:pPr>
      <w:r>
        <w:t>C</w:t>
      </w:r>
      <w:r w:rsidR="00AB1B9A">
        <w:t xml:space="preserve">onsider </w:t>
      </w:r>
      <w:r w:rsidR="008501FD">
        <w:t xml:space="preserve">that according to the 2011 Census, the </w:t>
      </w:r>
      <w:r w:rsidR="00AB1B9A">
        <w:t xml:space="preserve">total female population </w:t>
      </w:r>
      <w:r w:rsidR="005A03B6">
        <w:t xml:space="preserve">in India </w:t>
      </w:r>
      <w:r w:rsidR="00AB1B9A">
        <w:t xml:space="preserve">is </w:t>
      </w:r>
      <w:r w:rsidR="008501FD" w:rsidRPr="008501FD">
        <w:t>586,469,294</w:t>
      </w:r>
      <w:r w:rsidR="00AB1B9A">
        <w:t xml:space="preserve"> out of which</w:t>
      </w:r>
      <w:r w:rsidR="00F85DF4" w:rsidRPr="00F85DF4">
        <w:t xml:space="preserve"> </w:t>
      </w:r>
      <w:r w:rsidR="00F85DF4" w:rsidRPr="00F85DF4">
        <w:t>181</w:t>
      </w:r>
      <w:r w:rsidR="00F85DF4">
        <w:t>,</w:t>
      </w:r>
      <w:r w:rsidR="00F85DF4" w:rsidRPr="00F85DF4">
        <w:t>298,564</w:t>
      </w:r>
      <w:r w:rsidR="00AB1B9A">
        <w:t xml:space="preserve"> live in urban areas</w:t>
      </w:r>
    </w:p>
    <w:p w14:paraId="41318B4B" w14:textId="5D9A43BB" w:rsidR="00AB1B9A" w:rsidRDefault="00AB1B9A" w:rsidP="008501FD">
      <w:pPr>
        <w:pStyle w:val="ListParagraph"/>
        <w:numPr>
          <w:ilvl w:val="2"/>
          <w:numId w:val="4"/>
        </w:numPr>
      </w:pPr>
      <w:r>
        <w:t>In this DHS sample, 34.6% of the women interviewed live in urban areas.</w:t>
      </w:r>
    </w:p>
    <w:p w14:paraId="0225580B" w14:textId="29D5D086" w:rsidR="00F85DF4" w:rsidRPr="00E121C2" w:rsidRDefault="00F85DF4" w:rsidP="008501FD">
      <w:pPr>
        <w:pStyle w:val="ListParagraph"/>
        <w:numPr>
          <w:ilvl w:val="2"/>
          <w:numId w:val="4"/>
        </w:numPr>
      </w:pPr>
      <w:r>
        <w:t xml:space="preserve">The sample size for this DHS’s women’s module was </w:t>
      </w:r>
      <w:r w:rsidRPr="00F85DF4">
        <w:t>699</w:t>
      </w:r>
      <w:r>
        <w:t>,</w:t>
      </w:r>
      <w:r w:rsidRPr="00F85DF4">
        <w:t>686</w:t>
      </w:r>
      <w:r>
        <w:t xml:space="preserve"> women. Totals for each category can be found on the table.</w:t>
      </w:r>
    </w:p>
    <w:p w14:paraId="2E56453F" w14:textId="2B43172F" w:rsidR="00E121C2" w:rsidRDefault="00D43D67" w:rsidP="008501FD">
      <w:pPr>
        <w:pStyle w:val="ListParagraph"/>
        <w:numPr>
          <w:ilvl w:val="1"/>
          <w:numId w:val="4"/>
        </w:numPr>
      </w:pPr>
      <w:r>
        <w:t xml:space="preserve">Utilizing all the indicators </w:t>
      </w:r>
      <w:r w:rsidR="005A03B6">
        <w:t>in the table referring to</w:t>
      </w:r>
      <w:r>
        <w:t xml:space="preserve"> “Median age at first marriage for women in India”, </w:t>
      </w:r>
      <w:r w:rsidR="00D75B85">
        <w:t>what type of data visualization do you think would be most appropriate to show…?</w:t>
      </w:r>
    </w:p>
    <w:p w14:paraId="54AA7728" w14:textId="2E2FE227" w:rsidR="00D43D67" w:rsidRDefault="00D75B85" w:rsidP="008501FD">
      <w:pPr>
        <w:pStyle w:val="ListParagraph"/>
        <w:numPr>
          <w:ilvl w:val="2"/>
          <w:numId w:val="4"/>
        </w:numPr>
      </w:pPr>
      <w:r>
        <w:t>Overlapping inequalities to a statistician or academician</w:t>
      </w:r>
    </w:p>
    <w:p w14:paraId="0E09CB3E" w14:textId="3CE922EC" w:rsidR="00D75B85" w:rsidRDefault="00D75B85" w:rsidP="008501FD">
      <w:pPr>
        <w:pStyle w:val="ListParagraph"/>
        <w:numPr>
          <w:ilvl w:val="2"/>
          <w:numId w:val="4"/>
        </w:numPr>
      </w:pPr>
      <w:r>
        <w:t>Simple inequalities across groups to a non-expert audience</w:t>
      </w:r>
    </w:p>
    <w:p w14:paraId="3DD2C394" w14:textId="0BF655D5" w:rsidR="00D75B85" w:rsidRDefault="005A03B6" w:rsidP="008501FD">
      <w:pPr>
        <w:pStyle w:val="ListParagraph"/>
        <w:numPr>
          <w:ilvl w:val="1"/>
          <w:numId w:val="4"/>
        </w:numPr>
      </w:pPr>
      <w:r>
        <w:t xml:space="preserve">Prepare a graph in excel showing </w:t>
      </w:r>
      <w:r w:rsidR="00233D9E">
        <w:t xml:space="preserve">the inequalities </w:t>
      </w:r>
      <w:r w:rsidR="00D0289A">
        <w:t>across different groups of women in connection to undernourishment (proportion of women with any level of anemia).</w:t>
      </w:r>
    </w:p>
    <w:p w14:paraId="439DE243" w14:textId="0BC856AB" w:rsidR="00D0289A" w:rsidRDefault="00D0289A" w:rsidP="008501FD">
      <w:pPr>
        <w:pStyle w:val="ListParagraph"/>
        <w:numPr>
          <w:ilvl w:val="1"/>
          <w:numId w:val="4"/>
        </w:numPr>
      </w:pPr>
      <w:r>
        <w:t xml:space="preserve">Do you see any correlation between the percentage of women who own land alone and those who are undernourished? Could you show it in a graph? </w:t>
      </w:r>
    </w:p>
    <w:sectPr w:rsidR="00D0289A" w:rsidSect="00BA31F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D811" w14:textId="77777777" w:rsidR="0041241F" w:rsidRDefault="0041241F" w:rsidP="00BA31FC">
      <w:pPr>
        <w:spacing w:after="0" w:line="240" w:lineRule="auto"/>
      </w:pPr>
      <w:r>
        <w:separator/>
      </w:r>
    </w:p>
  </w:endnote>
  <w:endnote w:type="continuationSeparator" w:id="0">
    <w:p w14:paraId="7255B3E5" w14:textId="77777777" w:rsidR="0041241F" w:rsidRDefault="0041241F" w:rsidP="00BA31FC">
      <w:pPr>
        <w:spacing w:after="0" w:line="240" w:lineRule="auto"/>
      </w:pPr>
      <w:r>
        <w:continuationSeparator/>
      </w:r>
    </w:p>
  </w:endnote>
  <w:endnote w:id="1">
    <w:p w14:paraId="23789859" w14:textId="77777777" w:rsidR="00BA31FC" w:rsidRPr="00BA31FC" w:rsidRDefault="00BA31FC" w:rsidP="00BA31FC">
      <w:pPr>
        <w:pStyle w:val="Foot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BA31FC">
        <w:rPr>
          <w:sz w:val="16"/>
          <w:szCs w:val="16"/>
        </w:rPr>
        <w:t xml:space="preserve">The information included in the table provided refers to the following indicators: </w:t>
      </w:r>
    </w:p>
    <w:p w14:paraId="647959B5" w14:textId="77777777" w:rsidR="00BA31FC" w:rsidRPr="00BA31FC" w:rsidRDefault="00BA31FC" w:rsidP="00BA31FC">
      <w:pPr>
        <w:pStyle w:val="FootnoteText"/>
        <w:rPr>
          <w:sz w:val="16"/>
          <w:szCs w:val="16"/>
        </w:rPr>
      </w:pPr>
    </w:p>
    <w:p w14:paraId="1E736A9E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Percentage of women ages 20 to 49 that were married by age 18 (child marriage) for India, according to latest available data</w:t>
      </w:r>
    </w:p>
    <w:p w14:paraId="4CCDFE86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Total (Weighted) number of women ages 20-49 that were married by age 18 (child marriage) for India, according to latest available data</w:t>
      </w:r>
    </w:p>
    <w:p w14:paraId="15AA2D54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Median age at first marriage for women ages 20-49 in India, according to latest available data</w:t>
      </w:r>
    </w:p>
    <w:p w14:paraId="3C99B067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Median age at first marriage for women ages 20-49 in urban households in India, according to latest available data</w:t>
      </w:r>
    </w:p>
    <w:p w14:paraId="6F1144CB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Median age at first marriage for women ages 20-49 in rural households in India, according to latest available data</w:t>
      </w:r>
    </w:p>
    <w:p w14:paraId="048916BC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Median age at first marriage for women ages 20-49 that completed at least secondary education in India.</w:t>
      </w:r>
    </w:p>
    <w:p w14:paraId="1A39EEDC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Median age at first marriage for women ages 20-49 that completed no education or only primary education in India, according to the latest available data</w:t>
      </w:r>
    </w:p>
    <w:p w14:paraId="3B8D291E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Median age at first marriage for women ages 20-49 living in the poorest households in India, according to the latest available data</w:t>
      </w:r>
    </w:p>
    <w:p w14:paraId="316F2A68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Median age at first marriage for women ages 20-49 living in the wealthiest households in India, according to the latest available data</w:t>
      </w:r>
    </w:p>
    <w:p w14:paraId="10BAAEB4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Proportion of population living in the wealthiest households that have water 30min or longer away round trip in India, according to latest available data</w:t>
      </w:r>
    </w:p>
    <w:p w14:paraId="64CCD77A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Proportion of population living in the poorest households that have water 30min or longer away round trip in India, according to latest available data</w:t>
      </w:r>
    </w:p>
    <w:p w14:paraId="217343FB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Proportion of population living in urban households that have water 30min or longer away round trip in India, according to latest available data</w:t>
      </w:r>
    </w:p>
    <w:p w14:paraId="5E03B3CC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Proportion of population living in rural households that have water 30min or longer away round trip in India, according to latest available data</w:t>
      </w:r>
    </w:p>
    <w:p w14:paraId="4F157B1D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Proportion of population living in households that have water 30min or longer away round trip in India, according to latest available data</w:t>
      </w:r>
    </w:p>
    <w:p w14:paraId="0620F7DB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Proportion of non-pregnant women living in the Jharkhand province of India with any level of anemia, according to latest available data</w:t>
      </w:r>
    </w:p>
    <w:p w14:paraId="39D14AC0" w14:textId="77777777" w:rsidR="00BA31FC" w:rsidRPr="00BA31FC" w:rsidRDefault="00BA31FC" w:rsidP="00BA31FC">
      <w:pPr>
        <w:pStyle w:val="FootnoteText"/>
        <w:numPr>
          <w:ilvl w:val="0"/>
          <w:numId w:val="6"/>
        </w:numPr>
        <w:rPr>
          <w:sz w:val="16"/>
          <w:szCs w:val="16"/>
        </w:rPr>
      </w:pPr>
      <w:r w:rsidRPr="00BA31FC">
        <w:rPr>
          <w:sz w:val="16"/>
          <w:szCs w:val="16"/>
        </w:rPr>
        <w:t>Proportion of non-pregnant women living in the Manipur province of India with any level of anemia, according to latest available data</w:t>
      </w:r>
    </w:p>
    <w:p w14:paraId="5333DC87" w14:textId="1F127E00" w:rsidR="00BA31FC" w:rsidRDefault="00BA31F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B101" w14:textId="77777777" w:rsidR="0041241F" w:rsidRDefault="0041241F" w:rsidP="00BA31FC">
      <w:pPr>
        <w:spacing w:after="0" w:line="240" w:lineRule="auto"/>
      </w:pPr>
      <w:r>
        <w:separator/>
      </w:r>
    </w:p>
  </w:footnote>
  <w:footnote w:type="continuationSeparator" w:id="0">
    <w:p w14:paraId="1C11B1AB" w14:textId="77777777" w:rsidR="0041241F" w:rsidRDefault="0041241F" w:rsidP="00BA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7A5"/>
    <w:multiLevelType w:val="hybridMultilevel"/>
    <w:tmpl w:val="7E60B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1F7"/>
    <w:multiLevelType w:val="hybridMultilevel"/>
    <w:tmpl w:val="E5D25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14D3"/>
    <w:multiLevelType w:val="hybridMultilevel"/>
    <w:tmpl w:val="E28E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81FEE"/>
    <w:multiLevelType w:val="hybridMultilevel"/>
    <w:tmpl w:val="49BC3B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A1431"/>
    <w:multiLevelType w:val="hybridMultilevel"/>
    <w:tmpl w:val="7C28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46FC4"/>
    <w:multiLevelType w:val="hybridMultilevel"/>
    <w:tmpl w:val="8A9C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7D"/>
    <w:rsid w:val="000F2F0B"/>
    <w:rsid w:val="00100A87"/>
    <w:rsid w:val="00233D9E"/>
    <w:rsid w:val="0041241F"/>
    <w:rsid w:val="004C1EC2"/>
    <w:rsid w:val="004C3C28"/>
    <w:rsid w:val="005A03B6"/>
    <w:rsid w:val="00634BFF"/>
    <w:rsid w:val="00736449"/>
    <w:rsid w:val="007D24BF"/>
    <w:rsid w:val="008501FD"/>
    <w:rsid w:val="00AB1B9A"/>
    <w:rsid w:val="00BA31FC"/>
    <w:rsid w:val="00BE367D"/>
    <w:rsid w:val="00CE5E8D"/>
    <w:rsid w:val="00D0289A"/>
    <w:rsid w:val="00D43D67"/>
    <w:rsid w:val="00D75B85"/>
    <w:rsid w:val="00E121C2"/>
    <w:rsid w:val="00E60284"/>
    <w:rsid w:val="00E67DE1"/>
    <w:rsid w:val="00E91E7D"/>
    <w:rsid w:val="00F61672"/>
    <w:rsid w:val="00F65486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6222"/>
  <w15:chartTrackingRefBased/>
  <w15:docId w15:val="{B84CB498-537F-4949-8300-6BFF48A1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36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1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1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1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1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1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1FC"/>
    <w:rPr>
      <w:vertAlign w:val="superscript"/>
    </w:rPr>
  </w:style>
  <w:style w:type="table" w:styleId="TableGrid">
    <w:name w:val="Table Grid"/>
    <w:basedOn w:val="TableNormal"/>
    <w:uiPriority w:val="39"/>
    <w:rsid w:val="00F8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A024-B3DE-48B9-9FC8-05705921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Duerto Valero</dc:creator>
  <cp:keywords/>
  <dc:description/>
  <cp:lastModifiedBy>Sara Duerto Valero</cp:lastModifiedBy>
  <cp:revision>3</cp:revision>
  <dcterms:created xsi:type="dcterms:W3CDTF">2019-01-28T10:10:00Z</dcterms:created>
  <dcterms:modified xsi:type="dcterms:W3CDTF">2019-01-28T10:48:00Z</dcterms:modified>
</cp:coreProperties>
</file>